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DB" w:rsidRPr="00342A31" w:rsidRDefault="00CB50C7" w:rsidP="00025190">
      <w:pPr>
        <w:widowControl/>
        <w:adjustRightInd w:val="0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B.PHARM. (REGULAR/FULL TIME) STUDENTS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 </w:t>
      </w:r>
      <w:r w:rsidRPr="00342A31">
        <w:rPr>
          <w:rFonts w:cs="Times New Roman"/>
          <w:b/>
          <w:bCs/>
          <w:sz w:val="24"/>
          <w:szCs w:val="24"/>
        </w:rPr>
        <w:t>WITH EFFECT FROM THE ACADEMIC YEAR 2022-23 (R-22</w:t>
      </w:r>
      <w:r w:rsidR="009F027F" w:rsidRPr="00342A31">
        <w:rPr>
          <w:rFonts w:cs="Times New Roman"/>
          <w:b/>
          <w:bCs/>
          <w:sz w:val="24"/>
          <w:szCs w:val="24"/>
        </w:rPr>
        <w:t xml:space="preserve"> Regulations</w:t>
      </w:r>
      <w:r w:rsidRPr="00342A31">
        <w:rPr>
          <w:rFonts w:cs="Times New Roman"/>
          <w:b/>
          <w:bCs/>
          <w:sz w:val="24"/>
          <w:szCs w:val="24"/>
        </w:rPr>
        <w:t>)</w:t>
      </w:r>
    </w:p>
    <w:p w:rsidR="00CB50C7" w:rsidRPr="00342A31" w:rsidRDefault="00CB50C7" w:rsidP="00025190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1F43D0" w:rsidRPr="00342A31" w:rsidRDefault="009F027F" w:rsidP="00025190">
      <w:pPr>
        <w:widowControl/>
        <w:adjustRightInd w:val="0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1</w:t>
      </w:r>
      <w:r w:rsidR="001F43D0" w:rsidRPr="00342A31">
        <w:rPr>
          <w:rFonts w:cs="Times New Roman"/>
          <w:b/>
          <w:bCs/>
          <w:sz w:val="24"/>
          <w:szCs w:val="24"/>
        </w:rPr>
        <w:t>.0 Attendance requirements:</w:t>
      </w:r>
    </w:p>
    <w:p w:rsidR="001F43D0" w:rsidRDefault="009F027F" w:rsidP="00025190">
      <w:pPr>
        <w:widowControl/>
        <w:adjustRightInd w:val="0"/>
        <w:spacing w:line="360" w:lineRule="auto"/>
        <w:rPr>
          <w:rFonts w:cs="Times New Roman"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1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.1 </w:t>
      </w:r>
      <w:r w:rsidR="001F43D0" w:rsidRPr="007D7044">
        <w:rPr>
          <w:rFonts w:cs="Times New Roman"/>
          <w:b/>
          <w:bCs/>
          <w:sz w:val="24"/>
          <w:szCs w:val="24"/>
        </w:rPr>
        <w:t>Attendance in all Courses</w:t>
      </w:r>
      <w:r w:rsidR="001F43D0" w:rsidRPr="00342A31">
        <w:rPr>
          <w:rFonts w:cs="Times New Roman"/>
          <w:sz w:val="24"/>
          <w:szCs w:val="24"/>
        </w:rPr>
        <w:t xml:space="preserve"> (Lectures/Laboratories/Seminar/Project Work) is compulsory. The</w:t>
      </w:r>
      <w:r w:rsidR="00025190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minimum required attendance in aggregate of all the subjects/ courses including the attendance of</w:t>
      </w:r>
      <w:r w:rsidR="00025190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mid-term examination/</w:t>
      </w:r>
      <w:r w:rsidR="007D7044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 xml:space="preserve">Laboratory etc. is </w:t>
      </w:r>
      <w:r w:rsidR="001F43D0" w:rsidRPr="00342A31">
        <w:rPr>
          <w:rFonts w:cs="Times New Roman"/>
          <w:b/>
          <w:bCs/>
          <w:sz w:val="24"/>
          <w:szCs w:val="24"/>
        </w:rPr>
        <w:t>80%</w:t>
      </w:r>
      <w:r w:rsidR="001F43D0" w:rsidRPr="00342A31">
        <w:rPr>
          <w:rFonts w:cs="Times New Roman"/>
          <w:sz w:val="24"/>
          <w:szCs w:val="24"/>
        </w:rPr>
        <w:t>. Two periods of attendance for each theory subject</w:t>
      </w:r>
      <w:r w:rsidR="007D7044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shall be considered, if the student appears for the mid-term examination of that subject. A student</w:t>
      </w:r>
      <w:r w:rsidR="007D7044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shall not be permitted to appear for the Semester End Examinations (SEE), if his attendance is less</w:t>
      </w:r>
      <w:r w:rsidR="007D7044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 xml:space="preserve">than 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80% </w:t>
      </w:r>
      <w:r w:rsidR="001F43D0" w:rsidRPr="00342A31">
        <w:rPr>
          <w:rFonts w:cs="Times New Roman"/>
          <w:sz w:val="24"/>
          <w:szCs w:val="24"/>
        </w:rPr>
        <w:t>(excluding attendance in mandatory courses like Environmental Sciences, Human Values</w:t>
      </w:r>
      <w:r w:rsidR="007D7044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and Professional Ethics, Gender Sensitization Laboratory, NCC/NSO, NSS and Industrial Training)</w:t>
      </w:r>
      <w:r w:rsidR="007D7044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for that semester.</w:t>
      </w:r>
    </w:p>
    <w:p w:rsidR="007D7044" w:rsidRPr="00342A31" w:rsidRDefault="007D7044" w:rsidP="00025190">
      <w:pPr>
        <w:widowControl/>
        <w:adjustRightInd w:val="0"/>
        <w:spacing w:line="360" w:lineRule="auto"/>
        <w:rPr>
          <w:rFonts w:cs="Times New Roman"/>
          <w:sz w:val="24"/>
          <w:szCs w:val="24"/>
        </w:rPr>
      </w:pPr>
    </w:p>
    <w:p w:rsidR="001F43D0" w:rsidRPr="00342A31" w:rsidRDefault="009F027F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1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.2 </w:t>
      </w:r>
      <w:r w:rsidR="001F43D0" w:rsidRPr="007D7044">
        <w:rPr>
          <w:rFonts w:cs="Times New Roman"/>
          <w:b/>
          <w:bCs/>
          <w:sz w:val="24"/>
          <w:szCs w:val="24"/>
        </w:rPr>
        <w:t>Condoning of shortage of attendance (between 70% and 80%)</w:t>
      </w:r>
      <w:r w:rsidR="001F43D0" w:rsidRPr="00342A31">
        <w:rPr>
          <w:rFonts w:cs="Times New Roman"/>
          <w:sz w:val="24"/>
          <w:szCs w:val="24"/>
        </w:rPr>
        <w:t xml:space="preserve"> up to a maximum of 10% (considering</w:t>
      </w:r>
      <w:r w:rsidR="007D7044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the days of attendance in sports, games, NCC, NSS activities and Medical grounds) in each semester</w:t>
      </w:r>
      <w:r w:rsidR="00743633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shall be granted by the College Academic Committee on genuine and valid grounds, based on the</w:t>
      </w:r>
      <w:r w:rsidR="00743633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student’s representation with supporting evidence.</w:t>
      </w:r>
    </w:p>
    <w:p w:rsidR="001F43D0" w:rsidRPr="00342A31" w:rsidRDefault="009F027F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1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.3 </w:t>
      </w:r>
      <w:r w:rsidR="001F43D0" w:rsidRPr="00342A31">
        <w:rPr>
          <w:rFonts w:cs="Times New Roman"/>
          <w:sz w:val="24"/>
          <w:szCs w:val="24"/>
        </w:rPr>
        <w:t>A stipulated fee shall be payable towards condoning of shortage of attendance.</w:t>
      </w:r>
    </w:p>
    <w:p w:rsidR="001F43D0" w:rsidRPr="00342A31" w:rsidRDefault="009F027F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1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.4 </w:t>
      </w:r>
      <w:r w:rsidR="001F43D0" w:rsidRPr="00743633">
        <w:rPr>
          <w:rFonts w:cs="Times New Roman"/>
          <w:b/>
          <w:bCs/>
          <w:sz w:val="24"/>
          <w:szCs w:val="24"/>
        </w:rPr>
        <w:t>Shortage of attendance below 70% in aggregate shall in no case be condoned</w:t>
      </w:r>
      <w:r w:rsidR="001F43D0" w:rsidRPr="00342A31">
        <w:rPr>
          <w:rFonts w:cs="Times New Roman"/>
          <w:sz w:val="24"/>
          <w:szCs w:val="24"/>
        </w:rPr>
        <w:t>.</w:t>
      </w:r>
    </w:p>
    <w:p w:rsidR="001F43D0" w:rsidRPr="00743633" w:rsidRDefault="009F027F" w:rsidP="00025190">
      <w:pPr>
        <w:widowControl/>
        <w:adjustRightInd w:val="0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1</w:t>
      </w:r>
      <w:r w:rsidR="001F43D0" w:rsidRPr="00342A31">
        <w:rPr>
          <w:rFonts w:cs="Times New Roman"/>
          <w:b/>
          <w:bCs/>
          <w:sz w:val="24"/>
          <w:szCs w:val="24"/>
        </w:rPr>
        <w:t>.5 Students whose shortage of attendance is not condoned in any semester are not eligible to</w:t>
      </w:r>
      <w:r w:rsidR="00743633">
        <w:rPr>
          <w:rFonts w:cs="Times New Roman"/>
          <w:b/>
          <w:bCs/>
          <w:sz w:val="24"/>
          <w:szCs w:val="24"/>
        </w:rPr>
        <w:t xml:space="preserve"> </w:t>
      </w:r>
      <w:r w:rsidR="001F43D0" w:rsidRPr="00342A31">
        <w:rPr>
          <w:rFonts w:cs="Times New Roman"/>
          <w:b/>
          <w:bCs/>
          <w:sz w:val="24"/>
          <w:szCs w:val="24"/>
        </w:rPr>
        <w:t>take their end examinations of that semester. They get detained and their registration for that</w:t>
      </w:r>
      <w:r w:rsidR="00743633">
        <w:rPr>
          <w:rFonts w:cs="Times New Roman"/>
          <w:b/>
          <w:bCs/>
          <w:sz w:val="24"/>
          <w:szCs w:val="24"/>
        </w:rPr>
        <w:t xml:space="preserve"> 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semester shall stand cancelled. They will not be promoted to the next semester. </w:t>
      </w:r>
      <w:r w:rsidR="001F43D0" w:rsidRPr="00342A31">
        <w:rPr>
          <w:rFonts w:cs="Times New Roman"/>
          <w:sz w:val="24"/>
          <w:szCs w:val="24"/>
        </w:rPr>
        <w:t>They may</w:t>
      </w:r>
      <w:r w:rsidR="00743633">
        <w:rPr>
          <w:rFonts w:cs="Times New Roman"/>
          <w:b/>
          <w:bCs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seek re-registration for all those subjects registered in that semester in which student was detained,</w:t>
      </w:r>
      <w:r w:rsidR="00743633">
        <w:rPr>
          <w:rFonts w:cs="Times New Roman"/>
          <w:b/>
          <w:bCs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by seeking re-admission into that semester as and when offered; in case if there are any open</w:t>
      </w:r>
      <w:r w:rsidR="00743633">
        <w:rPr>
          <w:rFonts w:cs="Times New Roman"/>
          <w:b/>
          <w:bCs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electives, the same may also be re-registered if offered. However, if those electives are not offered</w:t>
      </w:r>
      <w:r w:rsidR="00743633">
        <w:rPr>
          <w:rFonts w:cs="Times New Roman"/>
          <w:b/>
          <w:bCs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 xml:space="preserve">in later semesters, then alternate electives may be chosen from the 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same </w:t>
      </w:r>
      <w:r w:rsidR="001F43D0" w:rsidRPr="00342A31">
        <w:rPr>
          <w:rFonts w:cs="Times New Roman"/>
          <w:sz w:val="24"/>
          <w:szCs w:val="24"/>
        </w:rPr>
        <w:t>set of elective subjects</w:t>
      </w:r>
      <w:r w:rsidR="00743633">
        <w:rPr>
          <w:rFonts w:cs="Times New Roman"/>
          <w:b/>
          <w:bCs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offered under that category.</w:t>
      </w:r>
    </w:p>
    <w:p w:rsidR="00CB50C7" w:rsidRDefault="009F027F" w:rsidP="00A420C4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1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.6 </w:t>
      </w:r>
      <w:r w:rsidR="001F43D0" w:rsidRPr="00342A31">
        <w:rPr>
          <w:rFonts w:cs="Times New Roman"/>
          <w:sz w:val="24"/>
          <w:szCs w:val="24"/>
        </w:rPr>
        <w:t>A student fulfilling the attendance requirement in the present semester shall not be eligible for</w:t>
      </w:r>
      <w:r w:rsidR="00A420C4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readmission into the same class.</w:t>
      </w:r>
    </w:p>
    <w:p w:rsidR="00A420C4" w:rsidRPr="00342A31" w:rsidRDefault="00A420C4" w:rsidP="00A420C4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</w:p>
    <w:p w:rsidR="001F43D0" w:rsidRPr="00342A31" w:rsidRDefault="000E4FF9" w:rsidP="00025190">
      <w:pPr>
        <w:widowControl/>
        <w:adjustRightInd w:val="0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2</w:t>
      </w:r>
      <w:r w:rsidR="001F43D0" w:rsidRPr="00342A31">
        <w:rPr>
          <w:rFonts w:cs="Times New Roman"/>
          <w:b/>
          <w:bCs/>
          <w:sz w:val="24"/>
          <w:szCs w:val="24"/>
        </w:rPr>
        <w:t>.</w:t>
      </w:r>
      <w:r w:rsidRPr="00342A31">
        <w:rPr>
          <w:rFonts w:cs="Times New Roman"/>
          <w:b/>
          <w:bCs/>
          <w:sz w:val="24"/>
          <w:szCs w:val="24"/>
        </w:rPr>
        <w:t>1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 Promotion Rules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6804"/>
      </w:tblGrid>
      <w:tr w:rsidR="006A14FA" w:rsidTr="00A420C4">
        <w:tc>
          <w:tcPr>
            <w:tcW w:w="988" w:type="dxa"/>
          </w:tcPr>
          <w:p w:rsidR="006A14FA" w:rsidRPr="001F69A1" w:rsidRDefault="006A14FA" w:rsidP="00025190">
            <w:pPr>
              <w:widowControl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F69A1">
              <w:rPr>
                <w:rFonts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551" w:type="dxa"/>
          </w:tcPr>
          <w:p w:rsidR="006A14FA" w:rsidRPr="001F69A1" w:rsidRDefault="006A14FA" w:rsidP="00025190">
            <w:pPr>
              <w:widowControl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F69A1">
              <w:rPr>
                <w:rFonts w:cs="Times New Roman"/>
                <w:b/>
                <w:bCs/>
                <w:sz w:val="24"/>
                <w:szCs w:val="24"/>
              </w:rPr>
              <w:t>Promotion</w:t>
            </w:r>
          </w:p>
        </w:tc>
        <w:tc>
          <w:tcPr>
            <w:tcW w:w="6804" w:type="dxa"/>
          </w:tcPr>
          <w:p w:rsidR="006A14FA" w:rsidRPr="001F69A1" w:rsidRDefault="006A14FA" w:rsidP="00025190">
            <w:pPr>
              <w:widowControl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F69A1">
              <w:rPr>
                <w:rFonts w:cs="Times New Roman"/>
                <w:b/>
                <w:bCs/>
                <w:sz w:val="24"/>
                <w:szCs w:val="24"/>
              </w:rPr>
              <w:t>Conditions to be fulfilled</w:t>
            </w:r>
          </w:p>
        </w:tc>
      </w:tr>
      <w:tr w:rsidR="006A14FA" w:rsidTr="00A420C4">
        <w:tc>
          <w:tcPr>
            <w:tcW w:w="988" w:type="dxa"/>
          </w:tcPr>
          <w:p w:rsidR="006A14FA" w:rsidRPr="001F69A1" w:rsidRDefault="006A14FA" w:rsidP="00025190">
            <w:pPr>
              <w:jc w:val="both"/>
              <w:rPr>
                <w:rFonts w:cs="Times New Roman"/>
                <w:sz w:val="24"/>
                <w:szCs w:val="24"/>
              </w:rPr>
            </w:pPr>
            <w:r w:rsidRPr="001F69A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A14FA" w:rsidRPr="001F69A1" w:rsidRDefault="006A14FA" w:rsidP="00025190">
            <w:pPr>
              <w:jc w:val="both"/>
              <w:rPr>
                <w:rFonts w:cs="Times New Roman"/>
                <w:sz w:val="24"/>
                <w:szCs w:val="24"/>
              </w:rPr>
            </w:pPr>
            <w:r w:rsidRPr="001F69A1">
              <w:rPr>
                <w:rFonts w:cs="Times New Roman"/>
                <w:sz w:val="24"/>
                <w:szCs w:val="24"/>
              </w:rPr>
              <w:t>First year to second year</w:t>
            </w:r>
          </w:p>
        </w:tc>
        <w:tc>
          <w:tcPr>
            <w:tcW w:w="6804" w:type="dxa"/>
          </w:tcPr>
          <w:p w:rsidR="006A14FA" w:rsidRPr="001F69A1" w:rsidRDefault="006A14FA" w:rsidP="00025190">
            <w:pPr>
              <w:jc w:val="both"/>
              <w:rPr>
                <w:rFonts w:cs="Times New Roman"/>
                <w:sz w:val="24"/>
                <w:szCs w:val="24"/>
              </w:rPr>
            </w:pPr>
            <w:r w:rsidRPr="001F69A1">
              <w:rPr>
                <w:rFonts w:cs="Times New Roman"/>
                <w:sz w:val="24"/>
                <w:szCs w:val="24"/>
              </w:rPr>
              <w:t>Regular course of study of first year.</w:t>
            </w:r>
          </w:p>
        </w:tc>
      </w:tr>
      <w:tr w:rsidR="006A14FA" w:rsidTr="00A420C4">
        <w:tc>
          <w:tcPr>
            <w:tcW w:w="988" w:type="dxa"/>
          </w:tcPr>
          <w:p w:rsidR="006A14FA" w:rsidRPr="001F69A1" w:rsidRDefault="006A14FA" w:rsidP="00025190">
            <w:pPr>
              <w:widowControl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F69A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A14FA" w:rsidRPr="001F69A1" w:rsidRDefault="006A14FA" w:rsidP="00025190">
            <w:pPr>
              <w:widowControl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F69A1">
              <w:rPr>
                <w:rFonts w:cs="Times New Roman"/>
                <w:sz w:val="24"/>
                <w:szCs w:val="24"/>
              </w:rPr>
              <w:t>Second year to third year</w:t>
            </w:r>
          </w:p>
        </w:tc>
        <w:tc>
          <w:tcPr>
            <w:tcW w:w="6804" w:type="dxa"/>
          </w:tcPr>
          <w:p w:rsidR="006A14FA" w:rsidRPr="001F69A1" w:rsidRDefault="006A14FA" w:rsidP="00025190">
            <w:pPr>
              <w:widowControl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1F69A1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1F69A1">
              <w:rPr>
                <w:rFonts w:cs="Times New Roman"/>
                <w:sz w:val="24"/>
                <w:szCs w:val="24"/>
              </w:rPr>
              <w:t>i</w:t>
            </w:r>
            <w:proofErr w:type="spellEnd"/>
            <w:r w:rsidRPr="001F69A1">
              <w:rPr>
                <w:rFonts w:cs="Times New Roman"/>
                <w:sz w:val="24"/>
                <w:szCs w:val="24"/>
              </w:rPr>
              <w:t>) Regular course of study of second year.</w:t>
            </w:r>
          </w:p>
          <w:p w:rsidR="006A14FA" w:rsidRPr="001F69A1" w:rsidRDefault="006A14FA" w:rsidP="00025190">
            <w:pPr>
              <w:widowControl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1F69A1">
              <w:rPr>
                <w:rFonts w:cs="Times New Roman"/>
                <w:sz w:val="24"/>
                <w:szCs w:val="24"/>
              </w:rPr>
              <w:t>(ii) Must have passed all the subjects/ courses</w:t>
            </w:r>
            <w:r w:rsidR="001806F8">
              <w:rPr>
                <w:rFonts w:cs="Times New Roman"/>
                <w:sz w:val="24"/>
                <w:szCs w:val="24"/>
              </w:rPr>
              <w:t xml:space="preserve"> </w:t>
            </w:r>
            <w:r w:rsidRPr="001F69A1">
              <w:rPr>
                <w:rFonts w:cs="Times New Roman"/>
                <w:sz w:val="24"/>
                <w:szCs w:val="24"/>
              </w:rPr>
              <w:t>up to I Year II Semester from all the relevant</w:t>
            </w:r>
            <w:r w:rsidR="001806F8">
              <w:rPr>
                <w:rFonts w:cs="Times New Roman"/>
                <w:sz w:val="24"/>
                <w:szCs w:val="24"/>
              </w:rPr>
              <w:t xml:space="preserve"> </w:t>
            </w:r>
            <w:r w:rsidRPr="001F69A1">
              <w:rPr>
                <w:rFonts w:cs="Times New Roman"/>
                <w:sz w:val="24"/>
                <w:szCs w:val="24"/>
              </w:rPr>
              <w:t>regular and supplementary examinations,</w:t>
            </w:r>
            <w:r w:rsidR="001806F8">
              <w:rPr>
                <w:rFonts w:cs="Times New Roman"/>
                <w:sz w:val="24"/>
                <w:szCs w:val="24"/>
              </w:rPr>
              <w:t xml:space="preserve"> </w:t>
            </w:r>
            <w:r w:rsidRPr="001F69A1">
              <w:rPr>
                <w:rFonts w:cs="Times New Roman"/>
                <w:sz w:val="24"/>
                <w:szCs w:val="24"/>
              </w:rPr>
              <w:t>whether the student takes those examinations</w:t>
            </w:r>
          </w:p>
          <w:p w:rsidR="006A14FA" w:rsidRPr="001F69A1" w:rsidRDefault="006A14FA" w:rsidP="00025190">
            <w:pPr>
              <w:widowControl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F69A1">
              <w:rPr>
                <w:rFonts w:cs="Times New Roman"/>
                <w:sz w:val="24"/>
                <w:szCs w:val="24"/>
              </w:rPr>
              <w:t>or not.</w:t>
            </w:r>
          </w:p>
        </w:tc>
      </w:tr>
      <w:tr w:rsidR="006A14FA" w:rsidTr="00A420C4">
        <w:tc>
          <w:tcPr>
            <w:tcW w:w="988" w:type="dxa"/>
          </w:tcPr>
          <w:p w:rsidR="006A14FA" w:rsidRPr="001F69A1" w:rsidRDefault="006A14FA" w:rsidP="00025190">
            <w:pPr>
              <w:widowControl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F69A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A14FA" w:rsidRPr="001F69A1" w:rsidRDefault="006A14FA" w:rsidP="00025190">
            <w:pPr>
              <w:widowControl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F69A1">
              <w:rPr>
                <w:rFonts w:cs="Times New Roman"/>
                <w:sz w:val="24"/>
                <w:szCs w:val="24"/>
              </w:rPr>
              <w:t>Third year to fourth year</w:t>
            </w:r>
          </w:p>
        </w:tc>
        <w:tc>
          <w:tcPr>
            <w:tcW w:w="6804" w:type="dxa"/>
          </w:tcPr>
          <w:p w:rsidR="006A14FA" w:rsidRPr="001F69A1" w:rsidRDefault="006A14FA" w:rsidP="00025190">
            <w:pPr>
              <w:widowControl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1F69A1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1F69A1">
              <w:rPr>
                <w:rFonts w:cs="Times New Roman"/>
                <w:sz w:val="24"/>
                <w:szCs w:val="24"/>
              </w:rPr>
              <w:t>i</w:t>
            </w:r>
            <w:proofErr w:type="spellEnd"/>
            <w:r w:rsidRPr="001F69A1">
              <w:rPr>
                <w:rFonts w:cs="Times New Roman"/>
                <w:sz w:val="24"/>
                <w:szCs w:val="24"/>
              </w:rPr>
              <w:t>) Regular course of study of third year.</w:t>
            </w:r>
          </w:p>
          <w:p w:rsidR="006A14FA" w:rsidRPr="00A420C4" w:rsidRDefault="006A14FA" w:rsidP="00A420C4">
            <w:pPr>
              <w:widowControl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1F69A1">
              <w:rPr>
                <w:rFonts w:cs="Times New Roman"/>
                <w:sz w:val="24"/>
                <w:szCs w:val="24"/>
              </w:rPr>
              <w:t>(ii) Must have passed all the subjects/ courses</w:t>
            </w:r>
            <w:r w:rsidR="001806F8">
              <w:rPr>
                <w:rFonts w:cs="Times New Roman"/>
                <w:sz w:val="24"/>
                <w:szCs w:val="24"/>
              </w:rPr>
              <w:t xml:space="preserve"> </w:t>
            </w:r>
            <w:r w:rsidRPr="001F69A1">
              <w:rPr>
                <w:rFonts w:cs="Times New Roman"/>
                <w:sz w:val="24"/>
                <w:szCs w:val="24"/>
              </w:rPr>
              <w:t>up to II Year II Semester from all the relevant</w:t>
            </w:r>
            <w:r w:rsidR="001806F8">
              <w:rPr>
                <w:rFonts w:cs="Times New Roman"/>
                <w:sz w:val="24"/>
                <w:szCs w:val="24"/>
              </w:rPr>
              <w:t xml:space="preserve"> </w:t>
            </w:r>
            <w:r w:rsidRPr="001F69A1">
              <w:rPr>
                <w:rFonts w:cs="Times New Roman"/>
                <w:sz w:val="24"/>
                <w:szCs w:val="24"/>
              </w:rPr>
              <w:t>regular and supplementary examinations,</w:t>
            </w:r>
            <w:r w:rsidR="001806F8">
              <w:rPr>
                <w:rFonts w:cs="Times New Roman"/>
                <w:sz w:val="24"/>
                <w:szCs w:val="24"/>
              </w:rPr>
              <w:t xml:space="preserve"> </w:t>
            </w:r>
            <w:r w:rsidRPr="001F69A1">
              <w:rPr>
                <w:rFonts w:cs="Times New Roman"/>
                <w:sz w:val="24"/>
                <w:szCs w:val="24"/>
              </w:rPr>
              <w:t>whether the student takes those examinations</w:t>
            </w:r>
            <w:r w:rsidR="00A420C4">
              <w:rPr>
                <w:rFonts w:cs="Times New Roman"/>
                <w:sz w:val="24"/>
                <w:szCs w:val="24"/>
              </w:rPr>
              <w:t xml:space="preserve"> </w:t>
            </w:r>
            <w:r w:rsidRPr="001F69A1">
              <w:rPr>
                <w:rFonts w:cs="Times New Roman"/>
                <w:sz w:val="24"/>
                <w:szCs w:val="24"/>
              </w:rPr>
              <w:t>or not.</w:t>
            </w:r>
          </w:p>
        </w:tc>
      </w:tr>
    </w:tbl>
    <w:p w:rsidR="00901677" w:rsidRDefault="00901677" w:rsidP="00025190">
      <w:pPr>
        <w:widowControl/>
        <w:adjustRightInd w:val="0"/>
        <w:spacing w:line="360" w:lineRule="auto"/>
        <w:jc w:val="both"/>
        <w:rPr>
          <w:rFonts w:cs="Times New Roman"/>
          <w:b/>
          <w:bCs/>
          <w:sz w:val="24"/>
          <w:szCs w:val="24"/>
        </w:rPr>
      </w:pPr>
    </w:p>
    <w:p w:rsidR="001F43D0" w:rsidRPr="00342A31" w:rsidRDefault="000E4FF9" w:rsidP="001B5CD2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lastRenderedPageBreak/>
        <w:t>2</w:t>
      </w:r>
      <w:r w:rsidR="001F43D0" w:rsidRPr="00342A31">
        <w:rPr>
          <w:rFonts w:cs="Times New Roman"/>
          <w:b/>
          <w:bCs/>
          <w:sz w:val="24"/>
          <w:szCs w:val="24"/>
        </w:rPr>
        <w:t>.</w:t>
      </w:r>
      <w:r w:rsidRPr="00342A31">
        <w:rPr>
          <w:rFonts w:cs="Times New Roman"/>
          <w:b/>
          <w:bCs/>
          <w:sz w:val="24"/>
          <w:szCs w:val="24"/>
        </w:rPr>
        <w:t>1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 xml:space="preserve">A student shall register for all subjects covering 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209 credits </w:t>
      </w:r>
      <w:r w:rsidR="001F43D0" w:rsidRPr="00342A31">
        <w:rPr>
          <w:rFonts w:cs="Times New Roman"/>
          <w:sz w:val="24"/>
          <w:szCs w:val="24"/>
        </w:rPr>
        <w:t>as specified and listed in the course</w:t>
      </w:r>
      <w:r w:rsidR="00A420C4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 xml:space="preserve">structure, </w:t>
      </w:r>
      <w:proofErr w:type="spellStart"/>
      <w:r w:rsidR="001F43D0" w:rsidRPr="00342A31">
        <w:rPr>
          <w:rFonts w:cs="Times New Roman"/>
          <w:sz w:val="24"/>
          <w:szCs w:val="24"/>
        </w:rPr>
        <w:t>fulfills</w:t>
      </w:r>
      <w:proofErr w:type="spellEnd"/>
      <w:r w:rsidR="001F43D0" w:rsidRPr="00342A31">
        <w:rPr>
          <w:rFonts w:cs="Times New Roman"/>
          <w:sz w:val="24"/>
          <w:szCs w:val="24"/>
        </w:rPr>
        <w:t xml:space="preserve"> all the attendance and academic requirements for 209 credits, ‘earn all 209 credits’</w:t>
      </w:r>
      <w:r w:rsidR="00A420C4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 xml:space="preserve">by securing </w:t>
      </w:r>
      <w:proofErr w:type="gramStart"/>
      <w:r w:rsidR="001F43D0" w:rsidRPr="00342A31">
        <w:rPr>
          <w:rFonts w:cs="Times New Roman"/>
          <w:sz w:val="24"/>
          <w:szCs w:val="24"/>
        </w:rPr>
        <w:t xml:space="preserve">SGPA </w:t>
      </w:r>
      <w:r w:rsidR="001F43D0" w:rsidRPr="00342A31">
        <w:rPr>
          <w:rFonts w:eastAsia="SymbolMT"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6.0</w:t>
      </w:r>
      <w:proofErr w:type="gramEnd"/>
      <w:r w:rsidR="001F43D0" w:rsidRPr="00342A31">
        <w:rPr>
          <w:rFonts w:cs="Times New Roman"/>
          <w:sz w:val="24"/>
          <w:szCs w:val="24"/>
        </w:rPr>
        <w:t xml:space="preserve"> (in each semester) and CGPA (at the end of each successive semester)</w:t>
      </w:r>
      <w:r w:rsidR="001B5CD2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6.0 to successfully complete the under graduate programme.</w:t>
      </w:r>
    </w:p>
    <w:p w:rsidR="001F43D0" w:rsidRPr="00342A31" w:rsidRDefault="000E4FF9" w:rsidP="00025190">
      <w:pPr>
        <w:widowControl/>
        <w:adjustRightInd w:val="0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3</w:t>
      </w:r>
      <w:r w:rsidR="001F43D0" w:rsidRPr="00342A31">
        <w:rPr>
          <w:rFonts w:cs="Times New Roman"/>
          <w:b/>
          <w:bCs/>
          <w:sz w:val="24"/>
          <w:szCs w:val="24"/>
        </w:rPr>
        <w:t>.0 Evaluation - Distribution and Weightage of marks</w:t>
      </w:r>
    </w:p>
    <w:p w:rsidR="001F43D0" w:rsidRPr="00342A31" w:rsidRDefault="000E4FF9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3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.1 </w:t>
      </w:r>
      <w:r w:rsidR="001F43D0" w:rsidRPr="00342A31">
        <w:rPr>
          <w:rFonts w:cs="Times New Roman"/>
          <w:sz w:val="24"/>
          <w:szCs w:val="24"/>
        </w:rPr>
        <w:t>The performance of a student in every theory subject/course will be evaluated for 100 marks, with</w:t>
      </w:r>
      <w:r w:rsidR="001B5CD2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>25 marks allotted for CIE (Continuous Internal Evaluation) and 75 marks for SEE (Semester End-Examination).</w:t>
      </w:r>
    </w:p>
    <w:p w:rsidR="001F43D0" w:rsidRPr="00342A31" w:rsidRDefault="000E4FF9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3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.2 </w:t>
      </w:r>
      <w:r w:rsidR="001F43D0" w:rsidRPr="00342A31">
        <w:rPr>
          <w:rFonts w:cs="Times New Roman"/>
          <w:sz w:val="24"/>
          <w:szCs w:val="24"/>
        </w:rPr>
        <w:t xml:space="preserve">In CIE, for theory subjects, during a semester, there shall be two mid-term examinations. Each Mid-Term examination consists of two parts </w:t>
      </w:r>
      <w:proofErr w:type="spellStart"/>
      <w:r w:rsidR="001F43D0" w:rsidRPr="001B5CD2">
        <w:rPr>
          <w:rFonts w:cs="Times New Roman"/>
          <w:b/>
          <w:bCs/>
          <w:sz w:val="24"/>
          <w:szCs w:val="24"/>
        </w:rPr>
        <w:t>i</w:t>
      </w:r>
      <w:proofErr w:type="spellEnd"/>
      <w:r w:rsidR="001F43D0" w:rsidRPr="001B5CD2">
        <w:rPr>
          <w:rFonts w:cs="Times New Roman"/>
          <w:b/>
          <w:bCs/>
          <w:sz w:val="24"/>
          <w:szCs w:val="24"/>
        </w:rPr>
        <w:t>) Part – A for 10 marks, ii) Part – B for 10 marks</w:t>
      </w:r>
      <w:r w:rsidR="001F43D0" w:rsidRPr="00342A31">
        <w:rPr>
          <w:rFonts w:cs="Times New Roman"/>
          <w:sz w:val="24"/>
          <w:szCs w:val="24"/>
        </w:rPr>
        <w:t xml:space="preserve"> with a</w:t>
      </w:r>
      <w:r w:rsidR="001B5CD2">
        <w:rPr>
          <w:rFonts w:cs="Times New Roman"/>
          <w:sz w:val="24"/>
          <w:szCs w:val="24"/>
        </w:rPr>
        <w:t xml:space="preserve"> </w:t>
      </w:r>
      <w:r w:rsidR="001F43D0" w:rsidRPr="00342A31">
        <w:rPr>
          <w:rFonts w:cs="Times New Roman"/>
          <w:sz w:val="24"/>
          <w:szCs w:val="24"/>
        </w:rPr>
        <w:t xml:space="preserve">total duration </w:t>
      </w:r>
      <w:r w:rsidR="001F43D0" w:rsidRPr="003A4DE8">
        <w:rPr>
          <w:rFonts w:cs="Times New Roman"/>
          <w:b/>
          <w:bCs/>
          <w:sz w:val="24"/>
          <w:szCs w:val="24"/>
        </w:rPr>
        <w:t>of 2 hours</w:t>
      </w:r>
      <w:r w:rsidR="001F43D0" w:rsidRPr="00342A31">
        <w:rPr>
          <w:rFonts w:cs="Times New Roman"/>
          <w:sz w:val="24"/>
          <w:szCs w:val="24"/>
        </w:rPr>
        <w:t xml:space="preserve"> as follows:</w:t>
      </w:r>
    </w:p>
    <w:p w:rsidR="001F43D0" w:rsidRPr="00170F8A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 w:rsidRPr="00342A31">
        <w:rPr>
          <w:rFonts w:cs="Times New Roman"/>
          <w:sz w:val="24"/>
          <w:szCs w:val="24"/>
        </w:rPr>
        <w:t xml:space="preserve">1. </w:t>
      </w:r>
      <w:r w:rsidRPr="00170F8A">
        <w:rPr>
          <w:rFonts w:cs="Times New Roman"/>
          <w:b/>
          <w:bCs/>
          <w:sz w:val="24"/>
          <w:szCs w:val="24"/>
        </w:rPr>
        <w:t>Mid Term Examination for 20 marks:</w:t>
      </w:r>
    </w:p>
    <w:p w:rsidR="001F43D0" w:rsidRPr="00170F8A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 w:rsidRPr="00170F8A">
        <w:rPr>
          <w:rFonts w:cs="Times New Roman"/>
          <w:b/>
          <w:bCs/>
          <w:sz w:val="24"/>
          <w:szCs w:val="24"/>
        </w:rPr>
        <w:t>a. Part - A: 10 Multiple Choice/ Objective Questions paper for 10 marks.</w:t>
      </w:r>
    </w:p>
    <w:p w:rsidR="001F43D0" w:rsidRPr="00170F8A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 w:rsidRPr="00170F8A">
        <w:rPr>
          <w:rFonts w:cs="Times New Roman"/>
          <w:b/>
          <w:bCs/>
          <w:sz w:val="24"/>
          <w:szCs w:val="24"/>
        </w:rPr>
        <w:t>b. Part - B: Descriptive paper for 10 marks. Long Answer Questions for 5 marks (answer</w:t>
      </w:r>
      <w:r w:rsidR="003A4DE8" w:rsidRPr="00170F8A">
        <w:rPr>
          <w:rFonts w:cs="Times New Roman"/>
          <w:b/>
          <w:bCs/>
          <w:sz w:val="24"/>
          <w:szCs w:val="24"/>
        </w:rPr>
        <w:t xml:space="preserve"> </w:t>
      </w:r>
      <w:r w:rsidRPr="00170F8A">
        <w:rPr>
          <w:rFonts w:cs="Times New Roman"/>
          <w:b/>
          <w:bCs/>
          <w:sz w:val="24"/>
          <w:szCs w:val="24"/>
        </w:rPr>
        <w:t>1 out of 2). Short Answer Questions for 5 marks (answer 2 out of 3, each carries 2.5</w:t>
      </w:r>
      <w:r w:rsidR="003A4DE8" w:rsidRPr="00170F8A">
        <w:rPr>
          <w:rFonts w:cs="Times New Roman"/>
          <w:b/>
          <w:bCs/>
          <w:sz w:val="24"/>
          <w:szCs w:val="24"/>
        </w:rPr>
        <w:t xml:space="preserve"> </w:t>
      </w:r>
      <w:r w:rsidRPr="00170F8A">
        <w:rPr>
          <w:rFonts w:cs="Times New Roman"/>
          <w:b/>
          <w:bCs/>
          <w:sz w:val="24"/>
          <w:szCs w:val="24"/>
        </w:rPr>
        <w:t>marks).</w:t>
      </w:r>
    </w:p>
    <w:p w:rsidR="001F43D0" w:rsidRPr="00342A31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sz w:val="24"/>
          <w:szCs w:val="24"/>
        </w:rPr>
        <w:t>While the first mid-term examination shall be conducted on 50% of the syllabus, the second midterm</w:t>
      </w:r>
      <w:r w:rsidR="003A4DE8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examination shall be conducted on the remaining 50% of the syllabus.</w:t>
      </w:r>
    </w:p>
    <w:p w:rsidR="001F43D0" w:rsidRPr="00342A31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170F8A">
        <w:rPr>
          <w:rFonts w:cs="Times New Roman"/>
          <w:b/>
          <w:bCs/>
          <w:sz w:val="24"/>
          <w:szCs w:val="24"/>
        </w:rPr>
        <w:t xml:space="preserve">Five (5) marks are allocated for assignments </w:t>
      </w:r>
      <w:r w:rsidRPr="00342A31">
        <w:rPr>
          <w:rFonts w:cs="Times New Roman"/>
          <w:sz w:val="24"/>
          <w:szCs w:val="24"/>
        </w:rPr>
        <w:t>(as specified by the subject teacher concerned). The</w:t>
      </w:r>
      <w:r w:rsidR="00F379B7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first assignment should be submitted before the conduct of the first mid-term examination, and the</w:t>
      </w:r>
      <w:r w:rsidR="00F379B7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second assignment should be submitted before the conduct of the second mid-term examination.</w:t>
      </w:r>
    </w:p>
    <w:p w:rsidR="001F43D0" w:rsidRPr="00342A31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sz w:val="24"/>
          <w:szCs w:val="24"/>
        </w:rPr>
        <w:t>The average of the two assignments shall be taken as the final marks for assignment (for 5 marks).</w:t>
      </w:r>
    </w:p>
    <w:p w:rsidR="001F43D0" w:rsidRPr="00342A31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sz w:val="24"/>
          <w:szCs w:val="24"/>
        </w:rPr>
        <w:t>The average of marks secured in the Two Mid-term examinations, along with the average marks</w:t>
      </w:r>
      <w:r w:rsidR="00F379B7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secured in the two assignments will be considered as the final marks secured by a student in the</w:t>
      </w:r>
      <w:r w:rsidR="00F379B7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CIE.</w:t>
      </w:r>
    </w:p>
    <w:p w:rsidR="001F43D0" w:rsidRPr="00342A31" w:rsidRDefault="000E4FF9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3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.3 </w:t>
      </w:r>
      <w:r w:rsidR="001F43D0" w:rsidRPr="00342A31">
        <w:rPr>
          <w:rFonts w:cs="Times New Roman"/>
          <w:sz w:val="24"/>
          <w:szCs w:val="24"/>
        </w:rPr>
        <w:t>The details of the end semester question paper pattern are as follows,</w:t>
      </w:r>
    </w:p>
    <w:p w:rsidR="001F43D0" w:rsidRPr="00342A31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sz w:val="24"/>
          <w:szCs w:val="24"/>
        </w:rPr>
        <w:t>The end semester examinations will be conducted for 75 marks consisting of two parts viz.</w:t>
      </w:r>
    </w:p>
    <w:p w:rsidR="001F43D0" w:rsidRPr="00F379B7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F379B7">
        <w:rPr>
          <w:rFonts w:cs="Times New Roman"/>
          <w:b/>
          <w:bCs/>
          <w:sz w:val="24"/>
          <w:szCs w:val="24"/>
        </w:rPr>
        <w:t>i</w:t>
      </w:r>
      <w:proofErr w:type="spellEnd"/>
      <w:r w:rsidRPr="00F379B7">
        <w:rPr>
          <w:rFonts w:cs="Times New Roman"/>
          <w:b/>
          <w:bCs/>
          <w:sz w:val="24"/>
          <w:szCs w:val="24"/>
        </w:rPr>
        <w:t>) Part- A for 25 marks, ii) Part - B for 50 marks.</w:t>
      </w:r>
    </w:p>
    <w:p w:rsidR="001F43D0" w:rsidRPr="00342A31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eastAsia="SymbolMT" w:cs="Times New Roman"/>
          <w:sz w:val="24"/>
          <w:szCs w:val="24"/>
        </w:rPr>
        <w:t xml:space="preserve"> </w:t>
      </w:r>
      <w:r w:rsidRPr="00342A31">
        <w:rPr>
          <w:rFonts w:cs="Times New Roman"/>
          <w:sz w:val="24"/>
          <w:szCs w:val="24"/>
        </w:rPr>
        <w:t xml:space="preserve">Part-A is compulsory question which consists of fifteen sub-questions. The first ten </w:t>
      </w:r>
      <w:proofErr w:type="spellStart"/>
      <w:r w:rsidRPr="00342A31">
        <w:rPr>
          <w:rFonts w:cs="Times New Roman"/>
          <w:sz w:val="24"/>
          <w:szCs w:val="24"/>
        </w:rPr>
        <w:t>subquestions</w:t>
      </w:r>
      <w:proofErr w:type="spellEnd"/>
      <w:r w:rsidR="008662F7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are of Objective type/ Multiple Choice Questions, 2 from each unit and carry 1</w:t>
      </w:r>
      <w:r w:rsidR="008662F7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mark each. The next five sub-questions are Short Answer Questions one from each unit</w:t>
      </w:r>
      <w:r w:rsidR="008662F7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and carry 3 marks each.</w:t>
      </w:r>
    </w:p>
    <w:p w:rsidR="001F43D0" w:rsidRPr="00342A31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eastAsia="SymbolMT" w:cs="Times New Roman"/>
          <w:sz w:val="24"/>
          <w:szCs w:val="24"/>
        </w:rPr>
        <w:t xml:space="preserve"> </w:t>
      </w:r>
      <w:r w:rsidRPr="00342A31">
        <w:rPr>
          <w:rFonts w:cs="Times New Roman"/>
          <w:sz w:val="24"/>
          <w:szCs w:val="24"/>
        </w:rPr>
        <w:t>Part-B consists of five Long Answer Questions (numbered from 2 to 6) carrying 10 marks</w:t>
      </w:r>
      <w:r w:rsidR="008662F7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each. Each of these questions is from one unit and may contain sub-questions. For each</w:t>
      </w:r>
      <w:r w:rsidR="008662F7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question there will be an “either” “or” choice, which means that there will be two questions</w:t>
      </w:r>
      <w:r w:rsidR="008662F7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from each unit and the student should answer either of the two questions.</w:t>
      </w:r>
    </w:p>
    <w:p w:rsidR="001F43D0" w:rsidRPr="00342A31" w:rsidRDefault="000E4FF9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3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.3 </w:t>
      </w:r>
      <w:r w:rsidR="001F43D0" w:rsidRPr="009B4786">
        <w:rPr>
          <w:rFonts w:cs="Times New Roman"/>
          <w:b/>
          <w:bCs/>
          <w:sz w:val="24"/>
          <w:szCs w:val="24"/>
        </w:rPr>
        <w:t>For practical subjects</w:t>
      </w:r>
      <w:r w:rsidR="001F43D0" w:rsidRPr="00342A31">
        <w:rPr>
          <w:rFonts w:cs="Times New Roman"/>
          <w:sz w:val="24"/>
          <w:szCs w:val="24"/>
        </w:rPr>
        <w:t xml:space="preserve"> there shall be a Continuous </w:t>
      </w:r>
      <w:r w:rsidR="001F43D0" w:rsidRPr="009B4786">
        <w:rPr>
          <w:rFonts w:cs="Times New Roman"/>
          <w:b/>
          <w:bCs/>
          <w:sz w:val="24"/>
          <w:szCs w:val="24"/>
        </w:rPr>
        <w:t>Internal Evaluation (CIE) during the semester for</w:t>
      </w:r>
      <w:r w:rsidR="008662F7">
        <w:rPr>
          <w:rFonts w:cs="Times New Roman"/>
          <w:sz w:val="24"/>
          <w:szCs w:val="24"/>
        </w:rPr>
        <w:t xml:space="preserve"> </w:t>
      </w:r>
      <w:r w:rsidR="001F43D0" w:rsidRPr="009B4786">
        <w:rPr>
          <w:rFonts w:cs="Times New Roman"/>
          <w:b/>
          <w:bCs/>
          <w:sz w:val="24"/>
          <w:szCs w:val="24"/>
        </w:rPr>
        <w:t>15 marks and 35 marks for semester end examination</w:t>
      </w:r>
      <w:r w:rsidR="001F43D0" w:rsidRPr="00342A31">
        <w:rPr>
          <w:rFonts w:cs="Times New Roman"/>
          <w:sz w:val="24"/>
          <w:szCs w:val="24"/>
        </w:rPr>
        <w:t>. Out of the 15 marks for internal evaluation:</w:t>
      </w:r>
    </w:p>
    <w:p w:rsidR="001F43D0" w:rsidRPr="00342A31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sz w:val="24"/>
          <w:szCs w:val="24"/>
        </w:rPr>
        <w:t xml:space="preserve">1. A write-up on </w:t>
      </w:r>
      <w:r w:rsidRPr="00D830B3">
        <w:rPr>
          <w:rFonts w:cs="Times New Roman"/>
          <w:b/>
          <w:bCs/>
          <w:sz w:val="24"/>
          <w:szCs w:val="24"/>
        </w:rPr>
        <w:t>day-to-day experiment</w:t>
      </w:r>
      <w:r w:rsidRPr="00342A31">
        <w:rPr>
          <w:rFonts w:cs="Times New Roman"/>
          <w:sz w:val="24"/>
          <w:szCs w:val="24"/>
        </w:rPr>
        <w:t xml:space="preserve"> in the laboratory (in terms of aim, components/procedure,</w:t>
      </w:r>
      <w:r w:rsidR="008662F7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 xml:space="preserve">expected outcome) which shall be evaluated for </w:t>
      </w:r>
      <w:r w:rsidRPr="00D830B3">
        <w:rPr>
          <w:rFonts w:cs="Times New Roman"/>
          <w:b/>
          <w:bCs/>
          <w:sz w:val="24"/>
          <w:szCs w:val="24"/>
        </w:rPr>
        <w:t>5 marks</w:t>
      </w:r>
    </w:p>
    <w:p w:rsidR="001F43D0" w:rsidRPr="00342A31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sz w:val="24"/>
          <w:szCs w:val="24"/>
        </w:rPr>
        <w:t xml:space="preserve">2. </w:t>
      </w:r>
      <w:r w:rsidRPr="00D830B3">
        <w:rPr>
          <w:rFonts w:cs="Times New Roman"/>
          <w:b/>
          <w:bCs/>
          <w:sz w:val="24"/>
          <w:szCs w:val="24"/>
        </w:rPr>
        <w:t>5 marks for viva-voce</w:t>
      </w:r>
      <w:r w:rsidRPr="00342A31">
        <w:rPr>
          <w:rFonts w:cs="Times New Roman"/>
          <w:sz w:val="24"/>
          <w:szCs w:val="24"/>
        </w:rPr>
        <w:t xml:space="preserve"> in the course concerned.</w:t>
      </w:r>
    </w:p>
    <w:p w:rsidR="001F43D0" w:rsidRPr="00342A31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sz w:val="24"/>
          <w:szCs w:val="24"/>
        </w:rPr>
        <w:lastRenderedPageBreak/>
        <w:t xml:space="preserve">3. </w:t>
      </w:r>
      <w:r w:rsidRPr="00D830B3">
        <w:rPr>
          <w:rFonts w:cs="Times New Roman"/>
          <w:b/>
          <w:bCs/>
          <w:sz w:val="24"/>
          <w:szCs w:val="24"/>
        </w:rPr>
        <w:t>Internal practical examination</w:t>
      </w:r>
      <w:r w:rsidRPr="00342A31">
        <w:rPr>
          <w:rFonts w:cs="Times New Roman"/>
          <w:sz w:val="24"/>
          <w:szCs w:val="24"/>
        </w:rPr>
        <w:t xml:space="preserve"> conducted by the laboratory teacher concerned shall be</w:t>
      </w:r>
      <w:r w:rsidR="008662F7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 xml:space="preserve">evaluated for </w:t>
      </w:r>
      <w:r w:rsidRPr="00D830B3">
        <w:rPr>
          <w:rFonts w:cs="Times New Roman"/>
          <w:b/>
          <w:bCs/>
          <w:sz w:val="24"/>
          <w:szCs w:val="24"/>
        </w:rPr>
        <w:t>5 marks</w:t>
      </w:r>
      <w:r w:rsidRPr="00342A31">
        <w:rPr>
          <w:rFonts w:cs="Times New Roman"/>
          <w:sz w:val="24"/>
          <w:szCs w:val="24"/>
        </w:rPr>
        <w:t>.</w:t>
      </w:r>
    </w:p>
    <w:p w:rsidR="001F43D0" w:rsidRPr="00342A31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sz w:val="24"/>
          <w:szCs w:val="24"/>
        </w:rPr>
        <w:t>The Semester End Examination shall be conducted with an external examiner and the laboratory</w:t>
      </w:r>
      <w:r w:rsidR="008662F7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teacher. The external examiner shall be appointed from the cluster/other colleges which will be</w:t>
      </w:r>
      <w:r w:rsidR="000B255F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decided by the examination branch of the University.</w:t>
      </w:r>
    </w:p>
    <w:p w:rsidR="001F43D0" w:rsidRPr="00342A31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sz w:val="24"/>
          <w:szCs w:val="24"/>
        </w:rPr>
        <w:t>In the Semester End Examination held for 3 hours, total 35 marks are divided and allocated as</w:t>
      </w:r>
      <w:r w:rsidR="000B255F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shown below:</w:t>
      </w:r>
    </w:p>
    <w:p w:rsidR="001F43D0" w:rsidRPr="000B255F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 w:rsidRPr="000B255F">
        <w:rPr>
          <w:rFonts w:cs="Times New Roman"/>
          <w:b/>
          <w:bCs/>
          <w:sz w:val="24"/>
          <w:szCs w:val="24"/>
        </w:rPr>
        <w:t>1. 05 marks for Synopsis</w:t>
      </w:r>
    </w:p>
    <w:p w:rsidR="001F43D0" w:rsidRPr="000B255F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 w:rsidRPr="000B255F">
        <w:rPr>
          <w:rFonts w:cs="Times New Roman"/>
          <w:b/>
          <w:bCs/>
          <w:sz w:val="24"/>
          <w:szCs w:val="24"/>
        </w:rPr>
        <w:t>2. 25 for experiment</w:t>
      </w:r>
    </w:p>
    <w:p w:rsidR="001F43D0" w:rsidRPr="000B255F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 w:rsidRPr="000B255F">
        <w:rPr>
          <w:rFonts w:cs="Times New Roman"/>
          <w:b/>
          <w:bCs/>
          <w:sz w:val="24"/>
          <w:szCs w:val="24"/>
        </w:rPr>
        <w:t>3. 05 marks for viva-voce on concerned laboratory course</w:t>
      </w:r>
    </w:p>
    <w:p w:rsidR="001F43D0" w:rsidRDefault="001F43D0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0B255F">
        <w:rPr>
          <w:rFonts w:cs="Times New Roman"/>
          <w:b/>
          <w:bCs/>
          <w:sz w:val="24"/>
          <w:szCs w:val="24"/>
        </w:rPr>
        <w:t>A student has to secure 25 marks (i.e. 50% out of the 50 marks)</w:t>
      </w:r>
      <w:r w:rsidRPr="00342A31">
        <w:rPr>
          <w:rFonts w:cs="Times New Roman"/>
          <w:sz w:val="24"/>
          <w:szCs w:val="24"/>
        </w:rPr>
        <w:t xml:space="preserve"> allotted for CIE and SEE taken</w:t>
      </w:r>
      <w:r w:rsidR="000B255F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together.</w:t>
      </w:r>
    </w:p>
    <w:p w:rsidR="000B255F" w:rsidRPr="00342A31" w:rsidRDefault="000B255F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</w:p>
    <w:p w:rsidR="001F43D0" w:rsidRPr="00342A31" w:rsidRDefault="000E4FF9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3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.4 </w:t>
      </w:r>
      <w:r w:rsidR="001F43D0" w:rsidRPr="000B255F">
        <w:rPr>
          <w:rFonts w:cs="Times New Roman"/>
          <w:b/>
          <w:bCs/>
          <w:sz w:val="24"/>
          <w:szCs w:val="24"/>
        </w:rPr>
        <w:t>There shall be an Industrial Training in IV year I semester</w:t>
      </w:r>
      <w:r w:rsidR="001F43D0" w:rsidRPr="00342A31">
        <w:rPr>
          <w:rFonts w:cs="Times New Roman"/>
          <w:sz w:val="24"/>
          <w:szCs w:val="24"/>
        </w:rPr>
        <w:t>. For the Industrial Training, the student</w:t>
      </w:r>
    </w:p>
    <w:p w:rsidR="001F43D0" w:rsidRDefault="001F43D0" w:rsidP="007B574C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sz w:val="24"/>
          <w:szCs w:val="24"/>
        </w:rPr>
        <w:t xml:space="preserve">shall be required to work for at least </w:t>
      </w:r>
      <w:r w:rsidRPr="007B574C">
        <w:rPr>
          <w:rFonts w:cs="Times New Roman"/>
          <w:b/>
          <w:bCs/>
          <w:sz w:val="24"/>
          <w:szCs w:val="24"/>
        </w:rPr>
        <w:t>150 hours</w:t>
      </w:r>
      <w:r w:rsidRPr="00342A31">
        <w:rPr>
          <w:rFonts w:cs="Times New Roman"/>
          <w:sz w:val="24"/>
          <w:szCs w:val="24"/>
        </w:rPr>
        <w:t xml:space="preserve"> spread over four weeks in a Pharmaceutical</w:t>
      </w:r>
      <w:r w:rsidR="007B574C">
        <w:rPr>
          <w:rFonts w:cs="Times New Roman"/>
          <w:sz w:val="24"/>
          <w:szCs w:val="24"/>
        </w:rPr>
        <w:t xml:space="preserve"> </w:t>
      </w:r>
      <w:r w:rsidRPr="00342A31">
        <w:rPr>
          <w:rFonts w:cs="Times New Roman"/>
          <w:sz w:val="24"/>
          <w:szCs w:val="24"/>
        </w:rPr>
        <w:t>Industry/Hospital.</w:t>
      </w:r>
    </w:p>
    <w:p w:rsidR="000B255F" w:rsidRPr="00342A31" w:rsidRDefault="000B255F" w:rsidP="00025190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1F43D0" w:rsidRPr="00342A31" w:rsidRDefault="000E4FF9" w:rsidP="00025190">
      <w:pPr>
        <w:widowControl/>
        <w:adjustRightInd w:val="0"/>
        <w:spacing w:line="360" w:lineRule="auto"/>
        <w:jc w:val="both"/>
        <w:rPr>
          <w:rFonts w:cs="Times New Roman"/>
          <w:sz w:val="24"/>
          <w:szCs w:val="24"/>
        </w:rPr>
      </w:pPr>
      <w:r w:rsidRPr="00342A31">
        <w:rPr>
          <w:rFonts w:cs="Times New Roman"/>
          <w:b/>
          <w:bCs/>
          <w:sz w:val="24"/>
          <w:szCs w:val="24"/>
        </w:rPr>
        <w:t>3</w:t>
      </w:r>
      <w:r w:rsidR="001F43D0" w:rsidRPr="00342A31">
        <w:rPr>
          <w:rFonts w:cs="Times New Roman"/>
          <w:b/>
          <w:bCs/>
          <w:sz w:val="24"/>
          <w:szCs w:val="24"/>
        </w:rPr>
        <w:t xml:space="preserve">.5 Practice School: </w:t>
      </w:r>
      <w:r w:rsidR="001F43D0" w:rsidRPr="00342A31">
        <w:rPr>
          <w:rFonts w:cs="Times New Roman"/>
          <w:sz w:val="24"/>
          <w:szCs w:val="24"/>
        </w:rPr>
        <w:t>In the IV year I semester, every candidate shall undergo a practice school for a</w:t>
      </w:r>
    </w:p>
    <w:p w:rsidR="001F43D0" w:rsidRDefault="001F43D0" w:rsidP="000251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A31">
        <w:rPr>
          <w:rFonts w:cs="Times New Roman"/>
          <w:sz w:val="24"/>
          <w:szCs w:val="24"/>
        </w:rPr>
        <w:t xml:space="preserve">period of </w:t>
      </w:r>
      <w:r w:rsidRPr="007B574C">
        <w:rPr>
          <w:rFonts w:cs="Times New Roman"/>
          <w:b/>
          <w:bCs/>
          <w:sz w:val="24"/>
          <w:szCs w:val="24"/>
        </w:rPr>
        <w:t>150 hours</w:t>
      </w:r>
      <w:r w:rsidRPr="00342A31">
        <w:rPr>
          <w:rFonts w:cs="Times New Roman"/>
          <w:sz w:val="24"/>
          <w:szCs w:val="24"/>
        </w:rPr>
        <w:t xml:space="preserve"> evenly distributed th</w:t>
      </w:r>
      <w:r>
        <w:rPr>
          <w:rFonts w:ascii="Arial" w:hAnsi="Arial" w:cs="Arial"/>
          <w:sz w:val="20"/>
          <w:szCs w:val="20"/>
        </w:rPr>
        <w:t>roughout the semester.</w:t>
      </w:r>
    </w:p>
    <w:p w:rsidR="002E43C7" w:rsidRDefault="002E43C7" w:rsidP="00025190">
      <w:pPr>
        <w:spacing w:line="360" w:lineRule="auto"/>
        <w:jc w:val="both"/>
      </w:pPr>
    </w:p>
    <w:p w:rsidR="002E43C7" w:rsidRPr="00EA3BCA" w:rsidRDefault="002E43C7" w:rsidP="00EA3BCA">
      <w:pPr>
        <w:spacing w:line="360" w:lineRule="auto"/>
        <w:jc w:val="center"/>
        <w:rPr>
          <w:b/>
          <w:bCs/>
          <w:sz w:val="24"/>
          <w:szCs w:val="24"/>
        </w:rPr>
      </w:pPr>
      <w:r w:rsidRPr="00EA3BCA">
        <w:rPr>
          <w:b/>
          <w:bCs/>
          <w:sz w:val="24"/>
          <w:szCs w:val="24"/>
        </w:rPr>
        <w:t>Details of Actual Pass Marks for Regular Students.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694"/>
        <w:gridCol w:w="1417"/>
        <w:gridCol w:w="1559"/>
      </w:tblGrid>
      <w:tr w:rsidR="004E20C8" w:rsidTr="00B42A95">
        <w:tc>
          <w:tcPr>
            <w:tcW w:w="1980" w:type="dxa"/>
          </w:tcPr>
          <w:p w:rsidR="004E20C8" w:rsidRPr="00EA3BCA" w:rsidRDefault="004E20C8" w:rsidP="00025190">
            <w:pPr>
              <w:spacing w:line="360" w:lineRule="auto"/>
              <w:jc w:val="both"/>
              <w:rPr>
                <w:b/>
                <w:bCs/>
              </w:rPr>
            </w:pPr>
            <w:r w:rsidRPr="00EA3BCA">
              <w:rPr>
                <w:b/>
                <w:bCs/>
              </w:rPr>
              <w:t>Course</w:t>
            </w:r>
          </w:p>
        </w:tc>
        <w:tc>
          <w:tcPr>
            <w:tcW w:w="2551" w:type="dxa"/>
          </w:tcPr>
          <w:p w:rsidR="004E20C8" w:rsidRPr="00EA3BCA" w:rsidRDefault="004E20C8" w:rsidP="00025190">
            <w:pPr>
              <w:spacing w:line="360" w:lineRule="auto"/>
              <w:jc w:val="both"/>
              <w:rPr>
                <w:b/>
                <w:bCs/>
              </w:rPr>
            </w:pPr>
            <w:r w:rsidRPr="00EA3BCA">
              <w:rPr>
                <w:b/>
                <w:bCs/>
              </w:rPr>
              <w:t>Subject</w:t>
            </w:r>
          </w:p>
        </w:tc>
        <w:tc>
          <w:tcPr>
            <w:tcW w:w="2694" w:type="dxa"/>
          </w:tcPr>
          <w:p w:rsidR="004E20C8" w:rsidRPr="00EA3BCA" w:rsidRDefault="004E20C8" w:rsidP="00025190">
            <w:pPr>
              <w:spacing w:line="360" w:lineRule="auto"/>
              <w:jc w:val="both"/>
              <w:rPr>
                <w:b/>
                <w:bCs/>
              </w:rPr>
            </w:pPr>
            <w:r w:rsidRPr="00EA3BCA">
              <w:rPr>
                <w:b/>
                <w:bCs/>
              </w:rPr>
              <w:t>Max. Marks of End Exam</w:t>
            </w:r>
          </w:p>
        </w:tc>
        <w:tc>
          <w:tcPr>
            <w:tcW w:w="2976" w:type="dxa"/>
            <w:gridSpan w:val="2"/>
          </w:tcPr>
          <w:p w:rsidR="004E20C8" w:rsidRPr="00EA3BCA" w:rsidRDefault="004E20C8" w:rsidP="00025190">
            <w:pPr>
              <w:spacing w:line="360" w:lineRule="auto"/>
              <w:jc w:val="both"/>
              <w:rPr>
                <w:b/>
                <w:bCs/>
              </w:rPr>
            </w:pPr>
            <w:r w:rsidRPr="00EA3BCA">
              <w:rPr>
                <w:b/>
                <w:bCs/>
              </w:rPr>
              <w:t>M</w:t>
            </w:r>
            <w:r w:rsidRPr="00EA3BCA">
              <w:rPr>
                <w:b/>
                <w:bCs/>
              </w:rPr>
              <w:t>in</w:t>
            </w:r>
            <w:r w:rsidRPr="00EA3BCA">
              <w:rPr>
                <w:b/>
                <w:bCs/>
              </w:rPr>
              <w:t xml:space="preserve">. Marks </w:t>
            </w:r>
            <w:r w:rsidRPr="00EA3BCA">
              <w:rPr>
                <w:b/>
                <w:bCs/>
              </w:rPr>
              <w:t>for Pass</w:t>
            </w:r>
          </w:p>
        </w:tc>
      </w:tr>
      <w:tr w:rsidR="004E20C8" w:rsidTr="00B42A95">
        <w:tc>
          <w:tcPr>
            <w:tcW w:w="1980" w:type="dxa"/>
            <w:vMerge w:val="restart"/>
          </w:tcPr>
          <w:p w:rsidR="004E20C8" w:rsidRPr="003471F0" w:rsidRDefault="004E20C8" w:rsidP="00025190">
            <w:pPr>
              <w:spacing w:line="360" w:lineRule="auto"/>
              <w:jc w:val="both"/>
            </w:pPr>
          </w:p>
          <w:p w:rsidR="004E20C8" w:rsidRPr="003471F0" w:rsidRDefault="004E20C8" w:rsidP="00025190">
            <w:pPr>
              <w:spacing w:line="360" w:lineRule="auto"/>
              <w:jc w:val="both"/>
            </w:pPr>
          </w:p>
          <w:p w:rsidR="00974C8E" w:rsidRDefault="00974C8E" w:rsidP="00025190">
            <w:pPr>
              <w:spacing w:line="360" w:lineRule="auto"/>
              <w:jc w:val="both"/>
              <w:rPr>
                <w:b/>
                <w:bCs/>
              </w:rPr>
            </w:pPr>
          </w:p>
          <w:p w:rsidR="004E20C8" w:rsidRPr="003471F0" w:rsidRDefault="004E20C8" w:rsidP="00025190">
            <w:pPr>
              <w:spacing w:line="360" w:lineRule="auto"/>
              <w:jc w:val="both"/>
              <w:rPr>
                <w:b/>
                <w:bCs/>
              </w:rPr>
            </w:pPr>
            <w:proofErr w:type="gramStart"/>
            <w:r w:rsidRPr="003471F0">
              <w:rPr>
                <w:b/>
                <w:bCs/>
              </w:rPr>
              <w:t>B.PHARMACY</w:t>
            </w:r>
            <w:proofErr w:type="gramEnd"/>
          </w:p>
        </w:tc>
        <w:tc>
          <w:tcPr>
            <w:tcW w:w="2551" w:type="dxa"/>
          </w:tcPr>
          <w:p w:rsidR="004E20C8" w:rsidRPr="003471F0" w:rsidRDefault="004E20C8" w:rsidP="00974C8E">
            <w:pPr>
              <w:spacing w:line="480" w:lineRule="auto"/>
              <w:jc w:val="both"/>
            </w:pPr>
          </w:p>
        </w:tc>
        <w:tc>
          <w:tcPr>
            <w:tcW w:w="2694" w:type="dxa"/>
          </w:tcPr>
          <w:p w:rsidR="004E20C8" w:rsidRDefault="004E20C8" w:rsidP="00974C8E">
            <w:pPr>
              <w:spacing w:line="480" w:lineRule="auto"/>
              <w:jc w:val="both"/>
            </w:pPr>
          </w:p>
        </w:tc>
        <w:tc>
          <w:tcPr>
            <w:tcW w:w="1417" w:type="dxa"/>
          </w:tcPr>
          <w:p w:rsidR="004E20C8" w:rsidRPr="00974C8E" w:rsidRDefault="004E20C8" w:rsidP="00974C8E">
            <w:pPr>
              <w:spacing w:line="480" w:lineRule="auto"/>
              <w:jc w:val="both"/>
              <w:rPr>
                <w:b/>
                <w:bCs/>
              </w:rPr>
            </w:pPr>
            <w:r w:rsidRPr="00974C8E">
              <w:rPr>
                <w:b/>
                <w:bCs/>
              </w:rPr>
              <w:t>END EXAM</w:t>
            </w:r>
          </w:p>
        </w:tc>
        <w:tc>
          <w:tcPr>
            <w:tcW w:w="1559" w:type="dxa"/>
          </w:tcPr>
          <w:p w:rsidR="004E20C8" w:rsidRPr="00974C8E" w:rsidRDefault="004E20C8" w:rsidP="00974C8E">
            <w:pPr>
              <w:spacing w:line="480" w:lineRule="auto"/>
              <w:jc w:val="both"/>
              <w:rPr>
                <w:b/>
                <w:bCs/>
              </w:rPr>
            </w:pPr>
            <w:r w:rsidRPr="00974C8E">
              <w:rPr>
                <w:b/>
                <w:bCs/>
              </w:rPr>
              <w:t>INT+ EXT</w:t>
            </w:r>
          </w:p>
        </w:tc>
      </w:tr>
      <w:tr w:rsidR="00E30C36" w:rsidTr="00B42A95">
        <w:tc>
          <w:tcPr>
            <w:tcW w:w="1980" w:type="dxa"/>
            <w:vMerge/>
          </w:tcPr>
          <w:p w:rsidR="00E30C36" w:rsidRPr="003471F0" w:rsidRDefault="00E30C36" w:rsidP="00E30C36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:rsidR="00E30C36" w:rsidRPr="00974C8E" w:rsidRDefault="00E30C36" w:rsidP="00974C8E">
            <w:pPr>
              <w:spacing w:line="480" w:lineRule="auto"/>
              <w:jc w:val="both"/>
              <w:rPr>
                <w:b/>
                <w:bCs/>
              </w:rPr>
            </w:pPr>
            <w:r w:rsidRPr="00974C8E">
              <w:rPr>
                <w:b/>
                <w:bCs/>
              </w:rPr>
              <w:t>THEORY</w:t>
            </w:r>
          </w:p>
        </w:tc>
        <w:tc>
          <w:tcPr>
            <w:tcW w:w="2694" w:type="dxa"/>
          </w:tcPr>
          <w:p w:rsidR="00E30C36" w:rsidRDefault="00E30C36" w:rsidP="00974C8E">
            <w:pPr>
              <w:spacing w:line="480" w:lineRule="auto"/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E30C36" w:rsidRDefault="00E30C36" w:rsidP="00974C8E">
            <w:pPr>
              <w:spacing w:line="480" w:lineRule="auto"/>
              <w:jc w:val="center"/>
            </w:pPr>
            <w:bookmarkStart w:id="0" w:name="_GoBack"/>
            <w:bookmarkEnd w:id="0"/>
            <w:r>
              <w:t>30</w:t>
            </w:r>
          </w:p>
        </w:tc>
        <w:tc>
          <w:tcPr>
            <w:tcW w:w="1559" w:type="dxa"/>
          </w:tcPr>
          <w:p w:rsidR="00E30C36" w:rsidRDefault="00E30C36" w:rsidP="00974C8E">
            <w:pPr>
              <w:spacing w:line="480" w:lineRule="auto"/>
              <w:jc w:val="center"/>
            </w:pPr>
            <w:r>
              <w:t>20</w:t>
            </w:r>
            <w:r w:rsidR="003471F0">
              <w:t xml:space="preserve"> </w:t>
            </w:r>
            <w:r>
              <w:t>+</w:t>
            </w:r>
            <w:r w:rsidR="003471F0">
              <w:t xml:space="preserve"> </w:t>
            </w:r>
            <w:r>
              <w:t>30</w:t>
            </w:r>
          </w:p>
        </w:tc>
      </w:tr>
      <w:tr w:rsidR="00E30C36" w:rsidTr="00B42A95">
        <w:tc>
          <w:tcPr>
            <w:tcW w:w="1980" w:type="dxa"/>
            <w:vMerge/>
          </w:tcPr>
          <w:p w:rsidR="00E30C36" w:rsidRPr="003471F0" w:rsidRDefault="00E30C36" w:rsidP="00E30C36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:rsidR="00E30C36" w:rsidRPr="00974C8E" w:rsidRDefault="00E30C36" w:rsidP="00974C8E">
            <w:pPr>
              <w:spacing w:line="480" w:lineRule="auto"/>
              <w:jc w:val="both"/>
              <w:rPr>
                <w:b/>
                <w:bCs/>
              </w:rPr>
            </w:pPr>
            <w:r w:rsidRPr="00974C8E">
              <w:rPr>
                <w:b/>
                <w:bCs/>
              </w:rPr>
              <w:t xml:space="preserve">LAB </w:t>
            </w:r>
            <w:r w:rsidR="001870CA" w:rsidRPr="00974C8E">
              <w:rPr>
                <w:b/>
                <w:bCs/>
              </w:rPr>
              <w:t>(</w:t>
            </w:r>
            <w:r w:rsidR="00DF2898" w:rsidRPr="00974C8E">
              <w:rPr>
                <w:b/>
                <w:bCs/>
              </w:rPr>
              <w:t>INT</w:t>
            </w:r>
            <w:r w:rsidR="00974C8E" w:rsidRPr="00974C8E">
              <w:rPr>
                <w:b/>
                <w:bCs/>
              </w:rPr>
              <w:t xml:space="preserve"> </w:t>
            </w:r>
            <w:r w:rsidR="00DF2898" w:rsidRPr="00974C8E">
              <w:rPr>
                <w:b/>
                <w:bCs/>
              </w:rPr>
              <w:t>+</w:t>
            </w:r>
            <w:r w:rsidR="00974C8E" w:rsidRPr="00974C8E">
              <w:rPr>
                <w:b/>
                <w:bCs/>
              </w:rPr>
              <w:t xml:space="preserve"> </w:t>
            </w:r>
            <w:r w:rsidR="00DF2898" w:rsidRPr="00974C8E">
              <w:rPr>
                <w:b/>
                <w:bCs/>
              </w:rPr>
              <w:t>EXT</w:t>
            </w:r>
            <w:r w:rsidR="001870CA" w:rsidRPr="00974C8E">
              <w:rPr>
                <w:b/>
                <w:bCs/>
              </w:rPr>
              <w:t>)</w:t>
            </w:r>
          </w:p>
        </w:tc>
        <w:tc>
          <w:tcPr>
            <w:tcW w:w="2694" w:type="dxa"/>
          </w:tcPr>
          <w:p w:rsidR="00E30C36" w:rsidRDefault="001870CA" w:rsidP="00974C8E">
            <w:pPr>
              <w:spacing w:line="480" w:lineRule="auto"/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E30C36" w:rsidRDefault="001870CA" w:rsidP="00974C8E">
            <w:pPr>
              <w:spacing w:line="480" w:lineRule="auto"/>
              <w:jc w:val="center"/>
            </w:pPr>
            <w:r>
              <w:t>---</w:t>
            </w:r>
          </w:p>
        </w:tc>
        <w:tc>
          <w:tcPr>
            <w:tcW w:w="1559" w:type="dxa"/>
          </w:tcPr>
          <w:p w:rsidR="00E30C36" w:rsidRDefault="001870CA" w:rsidP="00974C8E">
            <w:pPr>
              <w:spacing w:line="480" w:lineRule="auto"/>
              <w:jc w:val="center"/>
            </w:pPr>
            <w:r>
              <w:t>25</w:t>
            </w:r>
          </w:p>
        </w:tc>
      </w:tr>
      <w:tr w:rsidR="00E30C36" w:rsidTr="00B42A95">
        <w:tc>
          <w:tcPr>
            <w:tcW w:w="1980" w:type="dxa"/>
            <w:vMerge/>
          </w:tcPr>
          <w:p w:rsidR="00E30C36" w:rsidRPr="003471F0" w:rsidRDefault="00E30C36" w:rsidP="00E30C36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:rsidR="00E30C36" w:rsidRPr="00974C8E" w:rsidRDefault="00E30C36" w:rsidP="00974C8E">
            <w:pPr>
              <w:spacing w:line="480" w:lineRule="auto"/>
              <w:jc w:val="both"/>
              <w:rPr>
                <w:b/>
                <w:bCs/>
              </w:rPr>
            </w:pPr>
            <w:r w:rsidRPr="00974C8E">
              <w:rPr>
                <w:b/>
                <w:bCs/>
              </w:rPr>
              <w:t>PRACTICE SCHOOL</w:t>
            </w:r>
          </w:p>
        </w:tc>
        <w:tc>
          <w:tcPr>
            <w:tcW w:w="2694" w:type="dxa"/>
          </w:tcPr>
          <w:p w:rsidR="00E30C36" w:rsidRDefault="00E30C36" w:rsidP="00974C8E">
            <w:pPr>
              <w:spacing w:line="480" w:lineRule="auto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E30C36" w:rsidRDefault="00E30C36" w:rsidP="00974C8E">
            <w:pPr>
              <w:spacing w:line="480" w:lineRule="auto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E30C36" w:rsidRDefault="001870CA" w:rsidP="00974C8E">
            <w:pPr>
              <w:spacing w:line="480" w:lineRule="auto"/>
              <w:jc w:val="center"/>
            </w:pPr>
            <w:r>
              <w:t>----</w:t>
            </w:r>
          </w:p>
        </w:tc>
      </w:tr>
      <w:tr w:rsidR="00E30C36" w:rsidTr="00B42A95">
        <w:tc>
          <w:tcPr>
            <w:tcW w:w="1980" w:type="dxa"/>
            <w:vMerge/>
          </w:tcPr>
          <w:p w:rsidR="00E30C36" w:rsidRPr="003471F0" w:rsidRDefault="00E30C36" w:rsidP="00E30C36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:rsidR="00E30C36" w:rsidRPr="00974C8E" w:rsidRDefault="00E30C36" w:rsidP="00974C8E">
            <w:pPr>
              <w:spacing w:line="480" w:lineRule="auto"/>
              <w:jc w:val="both"/>
              <w:rPr>
                <w:b/>
                <w:bCs/>
              </w:rPr>
            </w:pPr>
            <w:r w:rsidRPr="00974C8E">
              <w:rPr>
                <w:b/>
                <w:bCs/>
              </w:rPr>
              <w:t>PROJECT WORK</w:t>
            </w:r>
          </w:p>
        </w:tc>
        <w:tc>
          <w:tcPr>
            <w:tcW w:w="2694" w:type="dxa"/>
          </w:tcPr>
          <w:p w:rsidR="00E30C36" w:rsidRDefault="00E30C36" w:rsidP="00974C8E">
            <w:pPr>
              <w:spacing w:line="480" w:lineRule="auto"/>
              <w:jc w:val="center"/>
            </w:pPr>
            <w:r>
              <w:t>150</w:t>
            </w:r>
          </w:p>
        </w:tc>
        <w:tc>
          <w:tcPr>
            <w:tcW w:w="1417" w:type="dxa"/>
          </w:tcPr>
          <w:p w:rsidR="00E30C36" w:rsidRDefault="00E30C36" w:rsidP="00974C8E">
            <w:pPr>
              <w:spacing w:line="480" w:lineRule="auto"/>
              <w:jc w:val="center"/>
            </w:pPr>
            <w:r>
              <w:t>75</w:t>
            </w:r>
          </w:p>
        </w:tc>
        <w:tc>
          <w:tcPr>
            <w:tcW w:w="1559" w:type="dxa"/>
          </w:tcPr>
          <w:p w:rsidR="00E30C36" w:rsidRDefault="001870CA" w:rsidP="00974C8E">
            <w:pPr>
              <w:spacing w:line="480" w:lineRule="auto"/>
              <w:jc w:val="center"/>
            </w:pPr>
            <w:r>
              <w:t>----</w:t>
            </w:r>
          </w:p>
        </w:tc>
      </w:tr>
    </w:tbl>
    <w:p w:rsidR="002E43C7" w:rsidRDefault="002E43C7" w:rsidP="00025190">
      <w:pPr>
        <w:spacing w:line="360" w:lineRule="auto"/>
        <w:jc w:val="both"/>
      </w:pPr>
    </w:p>
    <w:sectPr w:rsidR="002E43C7" w:rsidSect="00170F8A">
      <w:pgSz w:w="11910" w:h="16840"/>
      <w:pgMar w:top="680" w:right="570" w:bottom="403" w:left="600" w:header="0" w:footer="2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C7"/>
    <w:rsid w:val="00021AE7"/>
    <w:rsid w:val="00025190"/>
    <w:rsid w:val="000B255F"/>
    <w:rsid w:val="000C392B"/>
    <w:rsid w:val="000E4FF9"/>
    <w:rsid w:val="00170F8A"/>
    <w:rsid w:val="001806F8"/>
    <w:rsid w:val="001870CA"/>
    <w:rsid w:val="001B5CD2"/>
    <w:rsid w:val="001D1A52"/>
    <w:rsid w:val="001F43D0"/>
    <w:rsid w:val="001F69A1"/>
    <w:rsid w:val="002E43C7"/>
    <w:rsid w:val="00342A31"/>
    <w:rsid w:val="003471F0"/>
    <w:rsid w:val="003479D1"/>
    <w:rsid w:val="003A4DE8"/>
    <w:rsid w:val="003B72D8"/>
    <w:rsid w:val="003D33DB"/>
    <w:rsid w:val="004E20C8"/>
    <w:rsid w:val="00515024"/>
    <w:rsid w:val="005513D9"/>
    <w:rsid w:val="005D75BB"/>
    <w:rsid w:val="006900F9"/>
    <w:rsid w:val="006A14FA"/>
    <w:rsid w:val="006C62DD"/>
    <w:rsid w:val="00721DCD"/>
    <w:rsid w:val="00743633"/>
    <w:rsid w:val="007B574C"/>
    <w:rsid w:val="007D7044"/>
    <w:rsid w:val="0083745E"/>
    <w:rsid w:val="00846081"/>
    <w:rsid w:val="008662F7"/>
    <w:rsid w:val="008B6E23"/>
    <w:rsid w:val="00901677"/>
    <w:rsid w:val="00974C8E"/>
    <w:rsid w:val="009B4786"/>
    <w:rsid w:val="009E2246"/>
    <w:rsid w:val="009F014B"/>
    <w:rsid w:val="009F027F"/>
    <w:rsid w:val="00A35CEF"/>
    <w:rsid w:val="00A37F50"/>
    <w:rsid w:val="00A420C4"/>
    <w:rsid w:val="00A85DED"/>
    <w:rsid w:val="00B42A95"/>
    <w:rsid w:val="00B95EEC"/>
    <w:rsid w:val="00C50D92"/>
    <w:rsid w:val="00CB50C7"/>
    <w:rsid w:val="00D830B3"/>
    <w:rsid w:val="00DF2898"/>
    <w:rsid w:val="00E30C36"/>
    <w:rsid w:val="00EA3BCA"/>
    <w:rsid w:val="00EB28EF"/>
    <w:rsid w:val="00F15436"/>
    <w:rsid w:val="00F379B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9D6D"/>
  <w15:chartTrackingRefBased/>
  <w15:docId w15:val="{89054112-0112-493A-B176-9BE24959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45E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83745E"/>
    <w:pPr>
      <w:spacing w:before="61"/>
      <w:ind w:left="165" w:right="286"/>
      <w:jc w:val="center"/>
      <w:outlineLvl w:val="0"/>
    </w:pPr>
    <w:rPr>
      <w:rFonts w:eastAsia="Times New Roman" w:cs="Times New Roman"/>
      <w:b/>
      <w:bCs/>
      <w:i/>
      <w:iCs/>
      <w:sz w:val="74"/>
      <w:szCs w:val="74"/>
    </w:rPr>
  </w:style>
  <w:style w:type="paragraph" w:styleId="Heading2">
    <w:name w:val="heading 2"/>
    <w:basedOn w:val="Normal"/>
    <w:link w:val="Heading2Char"/>
    <w:uiPriority w:val="9"/>
    <w:unhideWhenUsed/>
    <w:qFormat/>
    <w:rsid w:val="0083745E"/>
    <w:pPr>
      <w:spacing w:before="209"/>
      <w:ind w:left="1536" w:right="1652"/>
      <w:jc w:val="center"/>
      <w:outlineLvl w:val="1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3745E"/>
    <w:pPr>
      <w:ind w:left="108"/>
      <w:jc w:val="center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3745E"/>
    <w:rPr>
      <w:rFonts w:ascii="Times New Roman" w:eastAsia="Times New Roman" w:hAnsi="Times New Roman" w:cs="Times New Roman"/>
      <w:b/>
      <w:bCs/>
      <w:i/>
      <w:iCs/>
      <w:sz w:val="74"/>
      <w:szCs w:val="74"/>
    </w:rPr>
  </w:style>
  <w:style w:type="character" w:customStyle="1" w:styleId="Heading2Char">
    <w:name w:val="Heading 2 Char"/>
    <w:basedOn w:val="DefaultParagraphFont"/>
    <w:link w:val="Heading2"/>
    <w:uiPriority w:val="9"/>
    <w:rsid w:val="0083745E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83745E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3745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3745E"/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90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2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</dc:creator>
  <cp:keywords/>
  <dc:description/>
  <cp:lastModifiedBy>Exams</cp:lastModifiedBy>
  <cp:revision>6</cp:revision>
  <cp:lastPrinted>2023-09-22T07:43:00Z</cp:lastPrinted>
  <dcterms:created xsi:type="dcterms:W3CDTF">2023-09-22T06:02:00Z</dcterms:created>
  <dcterms:modified xsi:type="dcterms:W3CDTF">2023-09-22T07:43:00Z</dcterms:modified>
</cp:coreProperties>
</file>